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1A" w:rsidRDefault="00F85E1A" w:rsidP="00F85E1A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Proiect</w:t>
      </w:r>
    </w:p>
    <w:tbl>
      <w:tblPr>
        <w:tblpPr w:leftFromText="180" w:rightFromText="180" w:bottomFromText="200" w:horzAnchor="margin" w:tblpXSpec="center" w:tblpY="534"/>
        <w:tblW w:w="0" w:type="dxa"/>
        <w:tblLayout w:type="fixed"/>
        <w:tblLook w:val="04A0" w:firstRow="1" w:lastRow="0" w:firstColumn="1" w:lastColumn="0" w:noHBand="0" w:noVBand="1"/>
      </w:tblPr>
      <w:tblGrid>
        <w:gridCol w:w="4287"/>
        <w:gridCol w:w="1473"/>
        <w:gridCol w:w="4860"/>
      </w:tblGrid>
      <w:tr w:rsidR="00F85E1A" w:rsidTr="00DE3592">
        <w:trPr>
          <w:cantSplit/>
          <w:trHeight w:val="1556"/>
        </w:trPr>
        <w:tc>
          <w:tcPr>
            <w:tcW w:w="4287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F85E1A" w:rsidRDefault="00F85E1A" w:rsidP="00DE3592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REPUBLICA MOLDOVA</w:t>
            </w:r>
          </w:p>
          <w:p w:rsidR="00F85E1A" w:rsidRDefault="00F85E1A" w:rsidP="00DE3592">
            <w:pPr>
              <w:pStyle w:val="a3"/>
              <w:spacing w:line="276" w:lineRule="auto"/>
              <w:rPr>
                <w:rFonts w:ascii="Times New Roman" w:hAnsi="Times New Roman"/>
                <w:sz w:val="10"/>
                <w:lang w:val="ru-RU"/>
              </w:rPr>
            </w:pPr>
          </w:p>
          <w:p w:rsidR="00F85E1A" w:rsidRDefault="00F85E1A" w:rsidP="00DE3592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CONSILIUL RAIONAL BRICENI</w:t>
            </w:r>
          </w:p>
          <w:p w:rsidR="00F85E1A" w:rsidRDefault="00F85E1A" w:rsidP="00DE35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PREŞEDINTELE</w:t>
            </w:r>
          </w:p>
          <w:p w:rsidR="00F85E1A" w:rsidRDefault="00F85E1A" w:rsidP="00DE35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RAIONULUI BRICENI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F85E1A" w:rsidRDefault="00F85E1A" w:rsidP="00DE3592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4E2921E9" wp14:editId="1B06B3C6">
                  <wp:extent cx="6286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E1A" w:rsidRDefault="00F85E1A" w:rsidP="00DE359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F85E1A" w:rsidRDefault="00F85E1A" w:rsidP="00DE359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МОЛДОВА</w:t>
            </w:r>
          </w:p>
          <w:p w:rsidR="00F85E1A" w:rsidRDefault="00F85E1A" w:rsidP="00DE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РАЙОННЫЙ СОВЕТ БРИЧЕНЬ</w:t>
            </w:r>
          </w:p>
          <w:p w:rsidR="00F85E1A" w:rsidRDefault="00F85E1A" w:rsidP="00DE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</w:t>
            </w:r>
          </w:p>
          <w:p w:rsidR="00F85E1A" w:rsidRDefault="00F85E1A" w:rsidP="00DE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F85E1A" w:rsidRDefault="00F85E1A" w:rsidP="00DE3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РАЙОНА БРИЧЕНЬ</w:t>
            </w:r>
          </w:p>
        </w:tc>
      </w:tr>
      <w:tr w:rsidR="00F85E1A" w:rsidTr="00DE3592">
        <w:trPr>
          <w:cantSplit/>
          <w:trHeight w:val="338"/>
        </w:trPr>
        <w:tc>
          <w:tcPr>
            <w:tcW w:w="4287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F85E1A" w:rsidRDefault="00F85E1A" w:rsidP="00DE35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or.Briceni,str. Independenţei 48</w:t>
            </w:r>
          </w:p>
          <w:p w:rsidR="00F85E1A" w:rsidRDefault="00F85E1A" w:rsidP="00DE35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Tel.2-20-58, fax.2-34-92</w:t>
            </w:r>
          </w:p>
        </w:tc>
        <w:tc>
          <w:tcPr>
            <w:tcW w:w="1473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F85E1A" w:rsidRDefault="00F85E1A" w:rsidP="00DE35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F85E1A" w:rsidRDefault="00F85E1A" w:rsidP="00DE359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МД 4700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Бричень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48</w:t>
            </w:r>
          </w:p>
          <w:p w:rsidR="00F85E1A" w:rsidRDefault="00F85E1A" w:rsidP="00DE35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  <w:t>Tel.2-20-58, fax.2-34-92</w:t>
            </w:r>
          </w:p>
        </w:tc>
      </w:tr>
    </w:tbl>
    <w:p w:rsidR="00F85E1A" w:rsidRDefault="00F85E1A" w:rsidP="00F85E1A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Decizie nr.1/</w:t>
      </w:r>
      <w:r w:rsidR="00481107">
        <w:rPr>
          <w:rFonts w:ascii="Times New Roman" w:hAnsi="Times New Roman" w:cs="Times New Roman"/>
          <w:b/>
          <w:sz w:val="28"/>
          <w:szCs w:val="28"/>
          <w:lang w:val="it-IT"/>
        </w:rPr>
        <w:t>19</w:t>
      </w:r>
    </w:p>
    <w:p w:rsidR="00F85E1A" w:rsidRDefault="00F85E1A" w:rsidP="00F85E1A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din 03 martie 2022                                                                           or.Briceni </w:t>
      </w:r>
    </w:p>
    <w:p w:rsidR="00F85E1A" w:rsidRDefault="00F85E1A" w:rsidP="00F85E1A">
      <w:pPr>
        <w:tabs>
          <w:tab w:val="left" w:pos="6096"/>
        </w:tabs>
        <w:spacing w:after="0" w:line="240" w:lineRule="auto"/>
        <w:ind w:right="2692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B201E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</w:t>
      </w:r>
      <w:r w:rsidRPr="00F85E1A">
        <w:rPr>
          <w:rFonts w:ascii="Times New Roman" w:hAnsi="Times New Roman" w:cs="Times New Roman"/>
          <w:b/>
          <w:sz w:val="28"/>
          <w:szCs w:val="28"/>
          <w:lang w:val="ro-RO"/>
        </w:rPr>
        <w:t>aprobarea, în redacție nouă, a Regulamentului de organizare și funcționare și a statelor de personal ale organului local de specialitate în domeniul învățămîntului la nivel raional (Direcția Învățămînt, Tineret și Sport Briceni)</w:t>
      </w:r>
    </w:p>
    <w:p w:rsidR="00F85E1A" w:rsidRDefault="00F85E1A" w:rsidP="00F85E1A">
      <w:pPr>
        <w:tabs>
          <w:tab w:val="left" w:pos="6096"/>
        </w:tabs>
        <w:spacing w:after="0" w:line="240" w:lineRule="auto"/>
        <w:ind w:right="2692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85E1A" w:rsidRPr="006B0CD2" w:rsidRDefault="00F85E1A" w:rsidP="00F85E1A">
      <w:pPr>
        <w:spacing w:after="0" w:line="240" w:lineRule="auto"/>
        <w:ind w:right="2692"/>
        <w:jc w:val="both"/>
        <w:rPr>
          <w:rFonts w:ascii="Times New Roman" w:hAnsi="Times New Roman" w:cs="Times New Roman"/>
          <w:b/>
          <w:i/>
          <w:sz w:val="8"/>
          <w:szCs w:val="28"/>
          <w:lang w:val="ro-RO"/>
        </w:rPr>
      </w:pPr>
    </w:p>
    <w:p w:rsidR="00F85E1A" w:rsidRPr="007808AB" w:rsidRDefault="00F85E1A" w:rsidP="00F85E1A">
      <w:pPr>
        <w:pStyle w:val="a3"/>
        <w:ind w:firstLine="708"/>
        <w:jc w:val="both"/>
        <w:rPr>
          <w:rFonts w:ascii="Times New Roman" w:hAnsi="Times New Roman"/>
          <w:b w:val="0"/>
          <w:bCs w:val="0"/>
          <w:lang w:val="en-US"/>
        </w:rPr>
      </w:pPr>
      <w:proofErr w:type="spellStart"/>
      <w:proofErr w:type="gramStart"/>
      <w:r w:rsidRPr="007808AB">
        <w:rPr>
          <w:rFonts w:ascii="Times New Roman" w:hAnsi="Times New Roman"/>
          <w:b w:val="0"/>
          <w:lang w:val="en-US"/>
        </w:rPr>
        <w:t>În</w:t>
      </w:r>
      <w:proofErr w:type="spellEnd"/>
      <w:r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 w:rsidRPr="007808AB">
        <w:rPr>
          <w:rFonts w:ascii="Times New Roman" w:hAnsi="Times New Roman"/>
          <w:b w:val="0"/>
          <w:lang w:val="en-US"/>
        </w:rPr>
        <w:t>temeiul</w:t>
      </w:r>
      <w:proofErr w:type="spellEnd"/>
      <w:r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 w:rsidRPr="007808AB">
        <w:rPr>
          <w:rFonts w:ascii="Times New Roman" w:hAnsi="Times New Roman"/>
          <w:b w:val="0"/>
          <w:lang w:val="en-US"/>
        </w:rPr>
        <w:t>prevederilor</w:t>
      </w:r>
      <w:proofErr w:type="spellEnd"/>
      <w:r w:rsidRPr="007808AB">
        <w:rPr>
          <w:rFonts w:ascii="Times New Roman" w:hAnsi="Times New Roman"/>
          <w:b w:val="0"/>
          <w:lang w:val="en-US"/>
        </w:rPr>
        <w:t xml:space="preserve"> art.43 alin.1</w:t>
      </w:r>
      <w:proofErr w:type="gramEnd"/>
      <w:r w:rsidRPr="007808AB">
        <w:rPr>
          <w:rFonts w:ascii="Times New Roman" w:hAnsi="Times New Roman"/>
          <w:b w:val="0"/>
          <w:lang w:val="en-US"/>
        </w:rPr>
        <w:t xml:space="preserve"> lit. (</w:t>
      </w:r>
      <w:r>
        <w:rPr>
          <w:rFonts w:ascii="Times New Roman" w:hAnsi="Times New Roman"/>
          <w:b w:val="0"/>
          <w:lang w:val="en-US"/>
        </w:rPr>
        <w:t>a</w:t>
      </w:r>
      <w:r w:rsidRPr="007808AB">
        <w:rPr>
          <w:rFonts w:ascii="Times New Roman" w:hAnsi="Times New Roman"/>
          <w:b w:val="0"/>
          <w:lang w:val="en-US"/>
        </w:rPr>
        <w:t xml:space="preserve">) din </w:t>
      </w:r>
      <w:proofErr w:type="spellStart"/>
      <w:r w:rsidRPr="007808AB">
        <w:rPr>
          <w:rFonts w:ascii="Times New Roman" w:hAnsi="Times New Roman"/>
          <w:b w:val="0"/>
          <w:lang w:val="en-US"/>
        </w:rPr>
        <w:t>Legea</w:t>
      </w:r>
      <w:proofErr w:type="spellEnd"/>
      <w:r w:rsidRPr="007808AB">
        <w:rPr>
          <w:rFonts w:ascii="Times New Roman" w:hAnsi="Times New Roman"/>
          <w:b w:val="0"/>
          <w:lang w:val="en-US"/>
        </w:rPr>
        <w:t xml:space="preserve"> nr.436-XVI din 28.12.2006, </w:t>
      </w:r>
      <w:proofErr w:type="spellStart"/>
      <w:r w:rsidRPr="007808AB">
        <w:rPr>
          <w:rFonts w:ascii="Times New Roman" w:hAnsi="Times New Roman"/>
          <w:b w:val="0"/>
          <w:lang w:val="en-US"/>
        </w:rPr>
        <w:t>privind</w:t>
      </w:r>
      <w:proofErr w:type="spellEnd"/>
      <w:r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 w:rsidRPr="007808AB">
        <w:rPr>
          <w:rFonts w:ascii="Times New Roman" w:hAnsi="Times New Roman"/>
          <w:b w:val="0"/>
          <w:lang w:val="en-US"/>
        </w:rPr>
        <w:t>administraţia</w:t>
      </w:r>
      <w:proofErr w:type="spellEnd"/>
      <w:r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 w:rsidRPr="007808AB">
        <w:rPr>
          <w:rFonts w:ascii="Times New Roman" w:hAnsi="Times New Roman"/>
          <w:b w:val="0"/>
          <w:lang w:val="en-US"/>
        </w:rPr>
        <w:t>publică</w:t>
      </w:r>
      <w:proofErr w:type="spellEnd"/>
      <w:r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 w:rsidRPr="007808AB">
        <w:rPr>
          <w:rFonts w:ascii="Times New Roman" w:hAnsi="Times New Roman"/>
          <w:b w:val="0"/>
          <w:lang w:val="en-US"/>
        </w:rPr>
        <w:t>locală</w:t>
      </w:r>
      <w:proofErr w:type="spellEnd"/>
      <w:r w:rsidRPr="007808AB">
        <w:rPr>
          <w:rFonts w:ascii="Times New Roman" w:hAnsi="Times New Roman"/>
          <w:b w:val="0"/>
          <w:lang w:val="en-US"/>
        </w:rPr>
        <w:t xml:space="preserve">, </w:t>
      </w:r>
      <w:r>
        <w:rPr>
          <w:rFonts w:ascii="Times New Roman" w:hAnsi="Times New Roman"/>
          <w:b w:val="0"/>
          <w:lang w:val="en-US"/>
        </w:rPr>
        <w:t xml:space="preserve">art.18, </w:t>
      </w:r>
      <w:proofErr w:type="spellStart"/>
      <w:r>
        <w:rPr>
          <w:rFonts w:ascii="Times New Roman" w:hAnsi="Times New Roman"/>
          <w:b w:val="0"/>
          <w:lang w:val="en-US"/>
        </w:rPr>
        <w:t>alin</w:t>
      </w:r>
      <w:proofErr w:type="spellEnd"/>
      <w:r>
        <w:rPr>
          <w:rFonts w:ascii="Times New Roman" w:hAnsi="Times New Roman"/>
          <w:b w:val="0"/>
          <w:lang w:val="en-US"/>
        </w:rPr>
        <w:t xml:space="preserve">.(5) </w:t>
      </w:r>
      <w:proofErr w:type="spellStart"/>
      <w:r>
        <w:rPr>
          <w:rFonts w:ascii="Times New Roman" w:hAnsi="Times New Roman"/>
          <w:b w:val="0"/>
          <w:lang w:val="en-US"/>
        </w:rPr>
        <w:t>și</w:t>
      </w:r>
      <w:proofErr w:type="spellEnd"/>
      <w:r>
        <w:rPr>
          <w:rFonts w:ascii="Times New Roman" w:hAnsi="Times New Roman"/>
          <w:b w:val="0"/>
          <w:lang w:val="en-US"/>
        </w:rPr>
        <w:t xml:space="preserve"> art.48 din </w:t>
      </w:r>
      <w:proofErr w:type="spellStart"/>
      <w:r>
        <w:rPr>
          <w:rFonts w:ascii="Times New Roman" w:hAnsi="Times New Roman"/>
          <w:b w:val="0"/>
          <w:lang w:val="en-US"/>
        </w:rPr>
        <w:t>Codul</w:t>
      </w:r>
      <w:proofErr w:type="spellEnd"/>
      <w:r>
        <w:rPr>
          <w:rFonts w:ascii="Times New Roman" w:hAnsi="Times New Roman"/>
          <w:b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lang w:val="en-US"/>
        </w:rPr>
        <w:t>Educației</w:t>
      </w:r>
      <w:proofErr w:type="spellEnd"/>
      <w:r>
        <w:rPr>
          <w:rFonts w:ascii="Times New Roman" w:hAnsi="Times New Roman"/>
          <w:b w:val="0"/>
          <w:lang w:val="en-US"/>
        </w:rPr>
        <w:t xml:space="preserve"> al </w:t>
      </w:r>
      <w:proofErr w:type="spellStart"/>
      <w:r>
        <w:rPr>
          <w:rFonts w:ascii="Times New Roman" w:hAnsi="Times New Roman"/>
          <w:b w:val="0"/>
          <w:lang w:val="en-US"/>
        </w:rPr>
        <w:t>Republicii</w:t>
      </w:r>
      <w:proofErr w:type="spellEnd"/>
      <w:r>
        <w:rPr>
          <w:rFonts w:ascii="Times New Roman" w:hAnsi="Times New Roman"/>
          <w:b w:val="0"/>
          <w:lang w:val="en-US"/>
        </w:rPr>
        <w:t xml:space="preserve"> Moldova, </w:t>
      </w:r>
      <w:proofErr w:type="spellStart"/>
      <w:r>
        <w:rPr>
          <w:rFonts w:ascii="Times New Roman" w:hAnsi="Times New Roman"/>
          <w:b w:val="0"/>
          <w:lang w:val="en-US"/>
        </w:rPr>
        <w:t>în</w:t>
      </w:r>
      <w:proofErr w:type="spellEnd"/>
      <w:r>
        <w:rPr>
          <w:rFonts w:ascii="Times New Roman" w:hAnsi="Times New Roman"/>
          <w:b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lang w:val="en-US"/>
        </w:rPr>
        <w:t>baza</w:t>
      </w:r>
      <w:proofErr w:type="spellEnd"/>
      <w:r>
        <w:rPr>
          <w:rFonts w:ascii="Times New Roman" w:hAnsi="Times New Roman"/>
          <w:b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lang w:val="en-US"/>
        </w:rPr>
        <w:t>Hotărîrii</w:t>
      </w:r>
      <w:proofErr w:type="spellEnd"/>
      <w:r>
        <w:rPr>
          <w:rFonts w:ascii="Times New Roman" w:hAnsi="Times New Roman"/>
          <w:b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lang w:val="en-US"/>
        </w:rPr>
        <w:t>Guvernului</w:t>
      </w:r>
      <w:proofErr w:type="spellEnd"/>
      <w:r>
        <w:rPr>
          <w:rFonts w:ascii="Times New Roman" w:hAnsi="Times New Roman"/>
          <w:b w:val="0"/>
          <w:lang w:val="en-US"/>
        </w:rPr>
        <w:t xml:space="preserve"> nr.404 din 16.06.2015, </w:t>
      </w:r>
      <w:proofErr w:type="spellStart"/>
      <w:r w:rsidRPr="007808AB">
        <w:rPr>
          <w:rFonts w:ascii="Times New Roman" w:hAnsi="Times New Roman"/>
          <w:b w:val="0"/>
          <w:lang w:val="en-US"/>
        </w:rPr>
        <w:t>examinînd</w:t>
      </w:r>
      <w:proofErr w:type="spellEnd"/>
      <w:r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 w:rsidRPr="007808AB">
        <w:rPr>
          <w:rFonts w:ascii="Times New Roman" w:hAnsi="Times New Roman"/>
          <w:b w:val="0"/>
          <w:lang w:val="en-US"/>
        </w:rPr>
        <w:t>demersul</w:t>
      </w:r>
      <w:proofErr w:type="spellEnd"/>
      <w:r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lang w:val="en-US"/>
        </w:rPr>
        <w:t>Direcției</w:t>
      </w:r>
      <w:proofErr w:type="spellEnd"/>
      <w:r>
        <w:rPr>
          <w:rFonts w:ascii="Times New Roman" w:hAnsi="Times New Roman"/>
          <w:b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lang w:val="en-US"/>
        </w:rPr>
        <w:t>Învățămînt</w:t>
      </w:r>
      <w:proofErr w:type="spellEnd"/>
      <w:r>
        <w:rPr>
          <w:rFonts w:ascii="Times New Roman" w:hAnsi="Times New Roman"/>
          <w:b w:val="0"/>
          <w:lang w:val="en-US"/>
        </w:rPr>
        <w:t xml:space="preserve">, </w:t>
      </w:r>
      <w:proofErr w:type="spellStart"/>
      <w:r>
        <w:rPr>
          <w:rFonts w:ascii="Times New Roman" w:hAnsi="Times New Roman"/>
          <w:b w:val="0"/>
          <w:lang w:val="en-US"/>
        </w:rPr>
        <w:t>Tineret</w:t>
      </w:r>
      <w:proofErr w:type="spellEnd"/>
      <w:r>
        <w:rPr>
          <w:rFonts w:ascii="Times New Roman" w:hAnsi="Times New Roman"/>
          <w:b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lang w:val="en-US"/>
        </w:rPr>
        <w:t>și</w:t>
      </w:r>
      <w:proofErr w:type="spellEnd"/>
      <w:r>
        <w:rPr>
          <w:rFonts w:ascii="Times New Roman" w:hAnsi="Times New Roman"/>
          <w:b w:val="0"/>
          <w:lang w:val="en-US"/>
        </w:rPr>
        <w:t xml:space="preserve"> Sport nr.21 din 12.01.2022</w:t>
      </w:r>
      <w:r w:rsidRPr="007808AB">
        <w:rPr>
          <w:rFonts w:ascii="Times New Roman" w:hAnsi="Times New Roman"/>
          <w:b w:val="0"/>
          <w:lang w:val="en-US"/>
        </w:rPr>
        <w:t xml:space="preserve">, </w:t>
      </w:r>
      <w:proofErr w:type="spellStart"/>
      <w:r w:rsidRPr="007808AB">
        <w:rPr>
          <w:rFonts w:ascii="Times New Roman" w:hAnsi="Times New Roman"/>
          <w:b w:val="0"/>
          <w:lang w:val="en-US"/>
        </w:rPr>
        <w:t>Consiliul</w:t>
      </w:r>
      <w:proofErr w:type="spellEnd"/>
      <w:r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 w:rsidRPr="007808AB">
        <w:rPr>
          <w:rFonts w:ascii="Times New Roman" w:hAnsi="Times New Roman"/>
          <w:b w:val="0"/>
          <w:lang w:val="en-US"/>
        </w:rPr>
        <w:t>raional</w:t>
      </w:r>
      <w:proofErr w:type="spellEnd"/>
      <w:r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 w:rsidRPr="007808AB">
        <w:rPr>
          <w:rFonts w:ascii="Times New Roman" w:hAnsi="Times New Roman"/>
          <w:b w:val="0"/>
          <w:lang w:val="en-US"/>
        </w:rPr>
        <w:t>Briceni</w:t>
      </w:r>
      <w:proofErr w:type="spellEnd"/>
      <w:r w:rsidRPr="007808AB">
        <w:rPr>
          <w:rFonts w:ascii="Times New Roman" w:hAnsi="Times New Roman"/>
          <w:b w:val="0"/>
          <w:lang w:val="en-US"/>
        </w:rPr>
        <w:t xml:space="preserve">, </w:t>
      </w:r>
    </w:p>
    <w:p w:rsidR="00F85E1A" w:rsidRPr="00D54A25" w:rsidRDefault="00F85E1A" w:rsidP="00F85E1A">
      <w:pPr>
        <w:pStyle w:val="a3"/>
        <w:rPr>
          <w:rFonts w:ascii="Times New Roman" w:hAnsi="Times New Roman"/>
          <w:b w:val="0"/>
          <w:lang w:val="en-US"/>
        </w:rPr>
      </w:pPr>
      <w:r w:rsidRPr="00D54A25">
        <w:rPr>
          <w:rFonts w:ascii="Times New Roman" w:hAnsi="Times New Roman"/>
          <w:lang w:val="en-US"/>
        </w:rPr>
        <w:t>A DECIS:</w:t>
      </w:r>
    </w:p>
    <w:p w:rsidR="00F85E1A" w:rsidRDefault="00F85E1A" w:rsidP="00F8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Pr="003D5032"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>
        <w:rPr>
          <w:rFonts w:ascii="Times New Roman" w:hAnsi="Times New Roman" w:cs="Times New Roman"/>
          <w:sz w:val="28"/>
          <w:szCs w:val="28"/>
          <w:lang w:val="ro-RO"/>
        </w:rPr>
        <w:t>aprobă, în redacție nouă, Regulamentul de organizare și funcționare a organului local de specialitate în domeniul învățămîntului la nivel raional (Direcția Învățămînt, Tineret și Sport Briceni), conform anexei nr.1</w:t>
      </w:r>
      <w:r w:rsidRPr="003D5032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81107" w:rsidRDefault="00481107" w:rsidP="00F85E1A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7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7"/>
          <w:lang w:val="ro-RO"/>
        </w:rPr>
        <w:t xml:space="preserve">Se aprobă, în redacție nouă, statele de personal ale </w:t>
      </w:r>
      <w:r>
        <w:rPr>
          <w:rFonts w:ascii="Times New Roman" w:hAnsi="Times New Roman"/>
          <w:sz w:val="28"/>
          <w:szCs w:val="28"/>
          <w:lang w:val="ro-RO"/>
        </w:rPr>
        <w:t>Direcției Învățămînt, Tineret și Sport Briceni, conform anexei nr.2</w:t>
      </w:r>
    </w:p>
    <w:p w:rsidR="00F85E1A" w:rsidRPr="003C01CD" w:rsidRDefault="00481107" w:rsidP="00F85E1A">
      <w:pPr>
        <w:pStyle w:val="a5"/>
        <w:tabs>
          <w:tab w:val="num" w:pos="0"/>
          <w:tab w:val="num" w:pos="1134"/>
          <w:tab w:val="num" w:pos="127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7"/>
          <w:lang w:val="ro-RO"/>
        </w:rPr>
      </w:pPr>
      <w:r>
        <w:rPr>
          <w:rFonts w:ascii="Times New Roman" w:hAnsi="Times New Roman"/>
          <w:color w:val="000000" w:themeColor="text1"/>
          <w:sz w:val="28"/>
          <w:szCs w:val="27"/>
          <w:lang w:val="ro-RO"/>
        </w:rPr>
        <w:t xml:space="preserve">3. Executarea prezentei Decizii se pune în sarcina dlui Vitalie Știrbu, șef al </w:t>
      </w:r>
      <w:r>
        <w:rPr>
          <w:rFonts w:ascii="Times New Roman" w:hAnsi="Times New Roman"/>
          <w:sz w:val="28"/>
          <w:szCs w:val="28"/>
          <w:lang w:val="ro-RO"/>
        </w:rPr>
        <w:t>Direcției Învățămînt, Tineret și Sport Briceni.</w:t>
      </w:r>
    </w:p>
    <w:p w:rsidR="00F85E1A" w:rsidRPr="007808AB" w:rsidRDefault="00481107" w:rsidP="00F85E1A">
      <w:pPr>
        <w:pStyle w:val="a3"/>
        <w:jc w:val="both"/>
        <w:rPr>
          <w:rFonts w:ascii="Times New Roman" w:hAnsi="Times New Roman"/>
          <w:b w:val="0"/>
          <w:bCs w:val="0"/>
          <w:lang w:val="en-US"/>
        </w:rPr>
      </w:pPr>
      <w:r>
        <w:rPr>
          <w:rFonts w:ascii="Times New Roman" w:hAnsi="Times New Roman"/>
          <w:b w:val="0"/>
        </w:rPr>
        <w:t xml:space="preserve">4. </w:t>
      </w:r>
      <w:proofErr w:type="spellStart"/>
      <w:r w:rsidR="00F85E1A" w:rsidRPr="007808AB">
        <w:rPr>
          <w:rFonts w:ascii="Times New Roman" w:hAnsi="Times New Roman"/>
          <w:b w:val="0"/>
          <w:lang w:val="en-US"/>
        </w:rPr>
        <w:t>Controlul</w:t>
      </w:r>
      <w:proofErr w:type="spellEnd"/>
      <w:r w:rsidR="00F85E1A"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 w:rsidR="00F85E1A" w:rsidRPr="007808AB">
        <w:rPr>
          <w:rFonts w:ascii="Times New Roman" w:hAnsi="Times New Roman"/>
          <w:b w:val="0"/>
          <w:lang w:val="en-US"/>
        </w:rPr>
        <w:t>executării</w:t>
      </w:r>
      <w:proofErr w:type="spellEnd"/>
      <w:r w:rsidR="00F85E1A"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 w:rsidR="00F85E1A" w:rsidRPr="007808AB">
        <w:rPr>
          <w:rFonts w:ascii="Times New Roman" w:hAnsi="Times New Roman"/>
          <w:b w:val="0"/>
          <w:lang w:val="en-US"/>
        </w:rPr>
        <w:t>prezentei</w:t>
      </w:r>
      <w:proofErr w:type="spellEnd"/>
      <w:r w:rsidR="00F85E1A"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 w:rsidR="00F85E1A" w:rsidRPr="007808AB">
        <w:rPr>
          <w:rFonts w:ascii="Times New Roman" w:hAnsi="Times New Roman"/>
          <w:b w:val="0"/>
          <w:lang w:val="en-US"/>
        </w:rPr>
        <w:t>decizii</w:t>
      </w:r>
      <w:proofErr w:type="spellEnd"/>
      <w:r w:rsidR="00F85E1A"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 w:rsidR="00F85E1A" w:rsidRPr="007808AB">
        <w:rPr>
          <w:rFonts w:ascii="Times New Roman" w:hAnsi="Times New Roman"/>
          <w:b w:val="0"/>
          <w:lang w:val="en-US"/>
        </w:rPr>
        <w:t>va</w:t>
      </w:r>
      <w:proofErr w:type="spellEnd"/>
      <w:r w:rsidR="00F85E1A" w:rsidRPr="007808AB">
        <w:rPr>
          <w:rFonts w:ascii="Times New Roman" w:hAnsi="Times New Roman"/>
          <w:b w:val="0"/>
          <w:lang w:val="en-US"/>
        </w:rPr>
        <w:t xml:space="preserve"> fi </w:t>
      </w:r>
      <w:proofErr w:type="spellStart"/>
      <w:r w:rsidR="00F85E1A" w:rsidRPr="007808AB">
        <w:rPr>
          <w:rFonts w:ascii="Times New Roman" w:hAnsi="Times New Roman"/>
          <w:b w:val="0"/>
          <w:lang w:val="en-US"/>
        </w:rPr>
        <w:t>exercitat</w:t>
      </w:r>
      <w:proofErr w:type="spellEnd"/>
      <w:r w:rsidR="00F85E1A" w:rsidRPr="007808AB">
        <w:rPr>
          <w:rFonts w:ascii="Times New Roman" w:hAnsi="Times New Roman"/>
          <w:b w:val="0"/>
          <w:lang w:val="en-US"/>
        </w:rPr>
        <w:t xml:space="preserve"> de </w:t>
      </w:r>
      <w:proofErr w:type="spellStart"/>
      <w:proofErr w:type="gramStart"/>
      <w:r w:rsidR="00F85E1A" w:rsidRPr="007808AB">
        <w:rPr>
          <w:rFonts w:ascii="Times New Roman" w:hAnsi="Times New Roman"/>
          <w:b w:val="0"/>
          <w:lang w:val="en-US"/>
        </w:rPr>
        <w:t>Vicepreşedintele</w:t>
      </w:r>
      <w:proofErr w:type="spellEnd"/>
      <w:r w:rsidR="00F85E1A" w:rsidRPr="007808AB">
        <w:rPr>
          <w:rFonts w:ascii="Times New Roman" w:hAnsi="Times New Roman"/>
          <w:b w:val="0"/>
          <w:lang w:val="en-US"/>
        </w:rPr>
        <w:t xml:space="preserve">  </w:t>
      </w:r>
      <w:proofErr w:type="spellStart"/>
      <w:r w:rsidR="00F85E1A" w:rsidRPr="007808AB">
        <w:rPr>
          <w:rFonts w:ascii="Times New Roman" w:hAnsi="Times New Roman"/>
          <w:b w:val="0"/>
          <w:lang w:val="en-US"/>
        </w:rPr>
        <w:t>raionului</w:t>
      </w:r>
      <w:proofErr w:type="spellEnd"/>
      <w:proofErr w:type="gramEnd"/>
      <w:r w:rsidR="00F85E1A" w:rsidRPr="007808AB">
        <w:rPr>
          <w:rFonts w:ascii="Times New Roman" w:hAnsi="Times New Roman"/>
          <w:b w:val="0"/>
          <w:lang w:val="en-US"/>
        </w:rPr>
        <w:t>, d</w:t>
      </w:r>
      <w:r w:rsidR="00F85E1A">
        <w:rPr>
          <w:rFonts w:ascii="Times New Roman" w:hAnsi="Times New Roman"/>
          <w:b w:val="0"/>
          <w:lang w:val="en-US"/>
        </w:rPr>
        <w:t>l</w:t>
      </w:r>
      <w:r w:rsidR="00F85E1A" w:rsidRPr="007808AB">
        <w:rPr>
          <w:rFonts w:ascii="Times New Roman" w:hAnsi="Times New Roman"/>
          <w:b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lang w:val="en-US"/>
        </w:rPr>
        <w:t>Dorin</w:t>
      </w:r>
      <w:proofErr w:type="spellEnd"/>
      <w:r>
        <w:rPr>
          <w:rFonts w:ascii="Times New Roman" w:hAnsi="Times New Roman"/>
          <w:b w:val="0"/>
          <w:lang w:val="en-US"/>
        </w:rPr>
        <w:t xml:space="preserve"> </w:t>
      </w:r>
      <w:proofErr w:type="spellStart"/>
      <w:r>
        <w:rPr>
          <w:rFonts w:ascii="Times New Roman" w:hAnsi="Times New Roman"/>
          <w:b w:val="0"/>
          <w:lang w:val="en-US"/>
        </w:rPr>
        <w:t>Pavaloi</w:t>
      </w:r>
      <w:proofErr w:type="spellEnd"/>
      <w:r w:rsidR="00F85E1A" w:rsidRPr="007808AB">
        <w:rPr>
          <w:rFonts w:ascii="Times New Roman" w:hAnsi="Times New Roman"/>
          <w:b w:val="0"/>
          <w:lang w:val="en-US"/>
        </w:rPr>
        <w:t>.</w:t>
      </w:r>
    </w:p>
    <w:p w:rsidR="00F85E1A" w:rsidRDefault="00F85E1A" w:rsidP="00F85E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85E1A" w:rsidRDefault="00F85E1A" w:rsidP="00F85E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F85E1A" w:rsidRDefault="00F85E1A" w:rsidP="00F85E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Preşedintele </w:t>
      </w:r>
    </w:p>
    <w:p w:rsidR="00F85E1A" w:rsidRDefault="00F85E1A" w:rsidP="00F85E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raionului Briceni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                         Vitalii Lupașco </w:t>
      </w:r>
    </w:p>
    <w:p w:rsidR="00F85E1A" w:rsidRDefault="00F85E1A" w:rsidP="00F85E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8"/>
          <w:szCs w:val="16"/>
          <w:lang w:val="it-IT"/>
        </w:rPr>
      </w:pPr>
    </w:p>
    <w:p w:rsidR="00F85E1A" w:rsidRPr="002800DC" w:rsidRDefault="00F85E1A" w:rsidP="00F85E1A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  <w:lang w:val="it-IT"/>
        </w:rPr>
      </w:pPr>
    </w:p>
    <w:p w:rsidR="00F85E1A" w:rsidRDefault="00F85E1A" w:rsidP="00F85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Secretarul interimar al</w:t>
      </w:r>
    </w:p>
    <w:p w:rsidR="00F85E1A" w:rsidRDefault="00F85E1A" w:rsidP="00F85E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Consiliului raional Briceni                                                         Vadim Saracuța</w:t>
      </w:r>
    </w:p>
    <w:p w:rsidR="00F85E1A" w:rsidRDefault="00F85E1A" w:rsidP="00F85E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6"/>
          <w:lang w:val="ro-RO"/>
        </w:rPr>
      </w:pPr>
    </w:p>
    <w:p w:rsidR="00F85E1A" w:rsidRDefault="00F85E1A" w:rsidP="00F85E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6"/>
          <w:lang w:val="ro-RO"/>
        </w:rPr>
      </w:pPr>
    </w:p>
    <w:p w:rsidR="00F85E1A" w:rsidRDefault="00F85E1A" w:rsidP="00F85E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Specialist principal</w:t>
      </w:r>
    </w:p>
    <w:p w:rsidR="00F85E1A" w:rsidRPr="00FB36ED" w:rsidRDefault="00F85E1A" w:rsidP="00F85E1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probleme juridice                                                                    Victor Statnîi</w:t>
      </w:r>
    </w:p>
    <w:p w:rsidR="00F85E1A" w:rsidRPr="00D81ED7" w:rsidRDefault="00F85E1A" w:rsidP="00F85E1A">
      <w:pPr>
        <w:rPr>
          <w:lang w:val="en-US"/>
        </w:rPr>
      </w:pPr>
      <w:bookmarkStart w:id="0" w:name="_GoBack"/>
      <w:bookmarkEnd w:id="0"/>
    </w:p>
    <w:sectPr w:rsidR="00F85E1A" w:rsidRPr="00D81ED7" w:rsidSect="004811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FE189A"/>
    <w:multiLevelType w:val="hybridMultilevel"/>
    <w:tmpl w:val="FB405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7C"/>
    <w:rsid w:val="003F2BEF"/>
    <w:rsid w:val="00481107"/>
    <w:rsid w:val="0056707C"/>
    <w:rsid w:val="00C0346F"/>
    <w:rsid w:val="00F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0B1F1-BA14-40E6-8926-EEE74199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1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85E1A"/>
    <w:pPr>
      <w:keepNext/>
      <w:suppressAutoHyphens/>
      <w:spacing w:after="0" w:line="240" w:lineRule="auto"/>
      <w:ind w:left="720" w:firstLine="720"/>
      <w:outlineLvl w:val="0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5E1A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a3">
    <w:name w:val="Body Text"/>
    <w:basedOn w:val="a"/>
    <w:link w:val="11"/>
    <w:semiHidden/>
    <w:unhideWhenUsed/>
    <w:rsid w:val="00F85E1A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customStyle="1" w:styleId="a4">
    <w:name w:val="Основной текст Знак"/>
    <w:basedOn w:val="a0"/>
    <w:uiPriority w:val="99"/>
    <w:semiHidden/>
    <w:rsid w:val="00F85E1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85E1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1">
    <w:name w:val="Основной текст Знак1"/>
    <w:basedOn w:val="a0"/>
    <w:link w:val="a3"/>
    <w:semiHidden/>
    <w:locked/>
    <w:rsid w:val="00F85E1A"/>
    <w:rPr>
      <w:rFonts w:ascii="Calibri" w:eastAsia="Times New Roman" w:hAnsi="Calibri" w:cs="Times New Roman"/>
      <w:b/>
      <w:bCs/>
      <w:sz w:val="28"/>
      <w:szCs w:val="24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2022-02-24T09:46:00Z</dcterms:created>
  <dcterms:modified xsi:type="dcterms:W3CDTF">2022-03-01T07:10:00Z</dcterms:modified>
</cp:coreProperties>
</file>