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F7" w:rsidRDefault="00586FF7" w:rsidP="00586FF7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586FF7" w:rsidTr="0068325F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586FF7" w:rsidRDefault="00586FF7" w:rsidP="0068325F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586FF7" w:rsidRDefault="00586FF7" w:rsidP="0068325F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586FF7" w:rsidRDefault="00586FF7" w:rsidP="0068325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586FF7" w:rsidRDefault="00586FF7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586FF7" w:rsidRDefault="00586FF7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586FF7" w:rsidRDefault="00586FF7" w:rsidP="00683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C816943" wp14:editId="5BAFD866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FF7" w:rsidRDefault="00586FF7" w:rsidP="006832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586FF7" w:rsidRDefault="00586FF7" w:rsidP="006832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586FF7" w:rsidRDefault="00586F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586FF7" w:rsidRDefault="00586F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586FF7" w:rsidRDefault="00586F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586FF7" w:rsidRDefault="00586F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586FF7" w:rsidTr="0068325F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586FF7" w:rsidRDefault="00586F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586FF7" w:rsidRDefault="00586FF7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586FF7" w:rsidRDefault="00586F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586FF7" w:rsidRDefault="00586F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586FF7" w:rsidRDefault="00586FF7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586FF7" w:rsidRDefault="00586FF7" w:rsidP="00586FF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352662">
        <w:rPr>
          <w:rFonts w:ascii="Times New Roman" w:hAnsi="Times New Roman" w:cs="Times New Roman"/>
          <w:b/>
          <w:sz w:val="28"/>
          <w:szCs w:val="28"/>
          <w:lang w:val="it-IT"/>
        </w:rPr>
        <w:t>15</w:t>
      </w:r>
    </w:p>
    <w:p w:rsidR="00586FF7" w:rsidRDefault="00586FF7" w:rsidP="00586FF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352662">
        <w:rPr>
          <w:rFonts w:ascii="Times New Roman" w:hAnsi="Times New Roman" w:cs="Times New Roman"/>
          <w:sz w:val="28"/>
          <w:szCs w:val="28"/>
          <w:lang w:val="it-IT"/>
        </w:rPr>
        <w:t>10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586FF7" w:rsidRPr="00586FF7" w:rsidRDefault="00586FF7" w:rsidP="00586FF7">
      <w:pPr>
        <w:pStyle w:val="a6"/>
        <w:ind w:right="396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Cu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privire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la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alocarea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mijloacelor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financiare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componenta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raională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x-none"/>
        </w:rPr>
        <w:t>pentru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ro-MD"/>
        </w:rPr>
        <w:t xml:space="preserve"> procurarea mijloacelor fixe (10 generatoare) în</w:t>
      </w:r>
      <w:r w:rsidRPr="00586F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en-US"/>
        </w:rPr>
        <w:t>unele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en-US"/>
        </w:rPr>
        <w:t>instituții</w:t>
      </w:r>
      <w:proofErr w:type="spellEnd"/>
      <w:r w:rsidRPr="00586FF7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586FF7">
        <w:rPr>
          <w:rFonts w:ascii="Times New Roman" w:hAnsi="Times New Roman"/>
          <w:b/>
          <w:sz w:val="28"/>
          <w:szCs w:val="28"/>
          <w:lang w:val="en-US"/>
        </w:rPr>
        <w:t>învățământ</w:t>
      </w:r>
      <w:proofErr w:type="spellEnd"/>
    </w:p>
    <w:p w:rsidR="00586FF7" w:rsidRPr="00586FF7" w:rsidRDefault="00586FF7" w:rsidP="00586FF7">
      <w:pPr>
        <w:pStyle w:val="a6"/>
        <w:rPr>
          <w:rFonts w:ascii="Times New Roman" w:hAnsi="Times New Roman"/>
          <w:b/>
          <w:sz w:val="28"/>
          <w:szCs w:val="28"/>
          <w:lang w:val="ro-MD"/>
        </w:rPr>
      </w:pPr>
    </w:p>
    <w:p w:rsidR="00586FF7" w:rsidRPr="00586FF7" w:rsidRDefault="00586FF7" w:rsidP="00586FF7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86F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temeiul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prevederilor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art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. 43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alin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>.(2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)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Legii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nr.436-XVI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28.12.2006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administraţia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publică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locală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conformitate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cu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art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. 26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Legea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nr.397-XV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16.10.2003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finanţele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publice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locale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Regulamentului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repartizarea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utilizarea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mijloacelor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componenta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raională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pentru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instituţiile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învăţământ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primar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secundar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general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aprobat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Hotărârea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Guvernului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nr.868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08.10.2014, art.5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punct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ro-MD"/>
        </w:rPr>
        <w:t xml:space="preserve"> 5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Pr="00586FF7">
        <w:rPr>
          <w:rFonts w:ascii="Times New Roman" w:hAnsi="Times New Roman" w:cs="Times New Roman"/>
          <w:sz w:val="28"/>
          <w:szCs w:val="28"/>
          <w:lang w:val="ro-RO"/>
        </w:rPr>
        <w:t>, examinînd demersul Direcției Învățămînt, Tineret și Sport Briceni nr.758 din 23.11.2021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Consiliul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raional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Briceni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</w:t>
      </w:r>
    </w:p>
    <w:p w:rsidR="00586FF7" w:rsidRPr="00586FF7" w:rsidRDefault="00586FF7" w:rsidP="00586FF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586FF7">
        <w:rPr>
          <w:rFonts w:ascii="Times New Roman" w:hAnsi="Times New Roman" w:cs="Times New Roman"/>
          <w:b/>
          <w:sz w:val="28"/>
          <w:szCs w:val="28"/>
          <w:lang w:val="x-none"/>
        </w:rPr>
        <w:t>A DECIS: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ro-MD"/>
        </w:rPr>
      </w:pP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1.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alocă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componenta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raională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Direcţiei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Învăţăm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>nt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Tineret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Sport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>mijloace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86FF7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în  sumă de 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>de 240000.0 (două sute patruzeci mii) lei  pentru procurarea mijloacelor fixe (10 generatoare)  următoarelor instituții de învățământ: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ro-MD"/>
        </w:rPr>
      </w:pPr>
      <w:r w:rsidRPr="00586FF7">
        <w:rPr>
          <w:rFonts w:ascii="Times New Roman" w:hAnsi="Times New Roman" w:cs="Times New Roman"/>
          <w:sz w:val="28"/>
          <w:szCs w:val="28"/>
          <w:lang w:val="ro-MD"/>
        </w:rPr>
        <w:t xml:space="preserve">       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Teoretic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Briceni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nr.1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- 24000,0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2.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Teoretic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Vieru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Briceni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3.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Teoretic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Grimăncăuți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- 24000.0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4.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Teoretic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Larga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- 24000.0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5.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Cotiujeni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6.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Colicăuți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7.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Larga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8.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Șirăuți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lei,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9.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Balasinești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10</w:t>
      </w:r>
      <w:proofErr w:type="gramStart"/>
      <w:r w:rsidRPr="00586FF7">
        <w:rPr>
          <w:rFonts w:ascii="Times New Roman" w:hAnsi="Times New Roman" w:cs="Times New Roman"/>
          <w:sz w:val="28"/>
          <w:szCs w:val="28"/>
          <w:lang w:val="en-US"/>
        </w:rPr>
        <w:t>.Gimnaziul</w:t>
      </w:r>
      <w:proofErr w:type="gram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Halahora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ab/>
        <w:t>- 24000.0 lei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2.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Direcţia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Finanţe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dna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Alla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>Lupașco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): </w:t>
      </w:r>
    </w:p>
    <w:p w:rsidR="00586FF7" w:rsidRPr="00586FF7" w:rsidRDefault="00586FF7" w:rsidP="00586FF7">
      <w:pPr>
        <w:tabs>
          <w:tab w:val="left" w:pos="129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 w:rsidRPr="00586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asigura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efectuarea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transferului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mijloacelor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alocate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prin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prezenta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Decizie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; </w:t>
      </w:r>
    </w:p>
    <w:p w:rsidR="00586FF7" w:rsidRPr="00586FF7" w:rsidRDefault="00586FF7" w:rsidP="00586FF7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asigura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reflectarea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operaţiunilor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bugetare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conform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procedurii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stabilite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cadrului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legal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prevederilor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prezentei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Decizii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586FF7" w:rsidRPr="00586FF7" w:rsidRDefault="00586FF7" w:rsidP="00586FF7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3.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Dl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Vitalie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Ştirbu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şef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Direcţia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Invăţămînt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Tineret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Sport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Briceni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emite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586FF7" w:rsidRPr="00586FF7" w:rsidRDefault="00586FF7" w:rsidP="00586FF7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semna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actele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necesare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întru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executarea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prezentei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Decizii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586FF7" w:rsidRPr="00586FF7" w:rsidRDefault="00586FF7" w:rsidP="00586FF7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86FF7">
        <w:rPr>
          <w:rFonts w:ascii="Times New Roman" w:hAnsi="Times New Roman" w:cs="Times New Roman"/>
          <w:sz w:val="28"/>
          <w:szCs w:val="28"/>
          <w:lang w:val="ro-MD"/>
        </w:rPr>
        <w:lastRenderedPageBreak/>
        <w:t>4. Dna Psenicinii Aurelia, contabil-șef în Contabilitatea centralizată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 xml:space="preserve"> a Direcției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Învăţăm</w:t>
      </w:r>
      <w:r w:rsidRPr="00586FF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>nt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Tineret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86FF7">
        <w:rPr>
          <w:rFonts w:ascii="Times New Roman" w:hAnsi="Times New Roman" w:cs="Times New Roman"/>
          <w:sz w:val="28"/>
          <w:szCs w:val="28"/>
          <w:lang w:val="x-none"/>
        </w:rPr>
        <w:t>Sport</w:t>
      </w:r>
      <w:proofErr w:type="spellEnd"/>
      <w:r w:rsidRPr="00586FF7">
        <w:rPr>
          <w:rFonts w:ascii="Times New Roman" w:hAnsi="Times New Roman" w:cs="Times New Roman"/>
          <w:sz w:val="28"/>
          <w:szCs w:val="28"/>
          <w:lang w:val="ro-MD"/>
        </w:rPr>
        <w:t>, în baza prezentei decizii, va reflecta în evidență contabilă operațiunile de rigoare ce țin de îndreptare spre plată a sumelor alocate în bază facturilor prezentate.</w:t>
      </w:r>
    </w:p>
    <w:p w:rsidR="00586FF7" w:rsidRPr="00586FF7" w:rsidRDefault="00586FF7" w:rsidP="00586FF7">
      <w:pPr>
        <w:spacing w:after="0" w:line="240" w:lineRule="auto"/>
        <w:ind w:left="2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6FF7">
        <w:rPr>
          <w:rFonts w:ascii="Times New Roman" w:hAnsi="Times New Roman" w:cs="Times New Roman"/>
          <w:sz w:val="28"/>
          <w:szCs w:val="28"/>
          <w:lang w:val="ro-MD"/>
        </w:rPr>
        <w:t>5</w:t>
      </w:r>
      <w:r w:rsidRPr="00586FF7">
        <w:rPr>
          <w:rFonts w:ascii="Times New Roman" w:hAnsi="Times New Roman" w:cs="Times New Roman"/>
          <w:sz w:val="28"/>
          <w:szCs w:val="28"/>
          <w:lang w:val="x-none"/>
        </w:rPr>
        <w:t>.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Controlul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executării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prezentei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decizii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exercitat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Vicepreşedintele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raionului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dl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Arcadie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Dobuleac</w:t>
      </w:r>
      <w:proofErr w:type="spellEnd"/>
      <w:r w:rsidRPr="00586FF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8"/>
          <w:szCs w:val="16"/>
          <w:lang w:val="it-IT"/>
        </w:rPr>
      </w:pPr>
    </w:p>
    <w:p w:rsidR="00586FF7" w:rsidRPr="002800DC" w:rsidRDefault="00586FF7" w:rsidP="00586FF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586FF7" w:rsidRDefault="00586FF7" w:rsidP="00586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586FF7" w:rsidRDefault="00586FF7" w:rsidP="00586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586FF7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586FF7" w:rsidRPr="00FB36ED" w:rsidRDefault="00586FF7" w:rsidP="0058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4F4AA2" w:rsidRPr="00A70776" w:rsidRDefault="004F4AA2">
      <w:pPr>
        <w:rPr>
          <w:lang w:val="en-US"/>
        </w:rPr>
      </w:pPr>
    </w:p>
    <w:p w:rsidR="00586FF7" w:rsidRPr="00C83E59" w:rsidRDefault="00586FF7" w:rsidP="00586FF7">
      <w:pPr>
        <w:rPr>
          <w:rFonts w:ascii="Times New Roman" w:hAnsi="Times New Roman" w:cs="Times New Roman"/>
          <w:b/>
          <w:sz w:val="28"/>
          <w:lang w:val="ro-RO"/>
        </w:rPr>
      </w:pPr>
      <w:r w:rsidRPr="00C83E59">
        <w:rPr>
          <w:rFonts w:ascii="Times New Roman" w:hAnsi="Times New Roman" w:cs="Times New Roman"/>
          <w:b/>
          <w:sz w:val="28"/>
          <w:lang w:val="ro-RO"/>
        </w:rPr>
        <w:t xml:space="preserve">Șeful Direcției Finanțe       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 xml:space="preserve">        </w:t>
      </w:r>
      <w:r w:rsidRPr="00C83E59">
        <w:rPr>
          <w:rFonts w:ascii="Times New Roman" w:hAnsi="Times New Roman" w:cs="Times New Roman"/>
          <w:b/>
          <w:sz w:val="28"/>
          <w:lang w:val="ro-RO"/>
        </w:rPr>
        <w:t>Alla Lupașco</w:t>
      </w:r>
    </w:p>
    <w:p w:rsidR="00586FF7" w:rsidRPr="00A70776" w:rsidRDefault="00586FF7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>
      <w:pPr>
        <w:rPr>
          <w:lang w:val="en-US"/>
        </w:rPr>
      </w:pPr>
    </w:p>
    <w:p w:rsidR="00A70776" w:rsidRDefault="00A70776" w:rsidP="00A70776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A70776" w:rsidTr="0068325F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A70776" w:rsidRDefault="00A70776" w:rsidP="0068325F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A70776" w:rsidRDefault="00A70776" w:rsidP="0068325F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A70776" w:rsidRDefault="00A70776" w:rsidP="0068325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A70776" w:rsidRDefault="00A70776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A70776" w:rsidRDefault="00A70776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A70776" w:rsidRDefault="00A70776" w:rsidP="00683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2F4F9EB" wp14:editId="3B24A7DB">
                  <wp:extent cx="6286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76" w:rsidRDefault="00A70776" w:rsidP="006832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A70776" w:rsidRDefault="00A70776" w:rsidP="006832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A70776" w:rsidRDefault="00A70776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A70776" w:rsidRDefault="00A70776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A70776" w:rsidRDefault="00A70776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70776" w:rsidRDefault="00A70776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A70776" w:rsidTr="0068325F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A70776" w:rsidRDefault="00A70776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A70776" w:rsidRDefault="00A70776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A70776" w:rsidRDefault="00A70776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A70776" w:rsidRDefault="00A70776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A70776" w:rsidRDefault="00A70776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A70776" w:rsidRDefault="00A70776" w:rsidP="00A70776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352662">
        <w:rPr>
          <w:rFonts w:ascii="Times New Roman" w:hAnsi="Times New Roman" w:cs="Times New Roman"/>
          <w:b/>
          <w:sz w:val="28"/>
          <w:szCs w:val="28"/>
          <w:lang w:val="it-IT"/>
        </w:rPr>
        <w:t>16</w:t>
      </w:r>
    </w:p>
    <w:p w:rsidR="00A70776" w:rsidRDefault="00A70776" w:rsidP="00A7077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352662">
        <w:rPr>
          <w:rFonts w:ascii="Times New Roman" w:hAnsi="Times New Roman" w:cs="Times New Roman"/>
          <w:sz w:val="28"/>
          <w:szCs w:val="28"/>
          <w:lang w:val="it-IT"/>
        </w:rPr>
        <w:t>10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A70776" w:rsidRPr="00A70776" w:rsidRDefault="00A70776" w:rsidP="00A70776">
      <w:pPr>
        <w:spacing w:after="0" w:line="240" w:lineRule="auto"/>
        <w:ind w:right="2551"/>
        <w:contextualSpacing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Cu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privire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la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alocarea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mijloacelor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financiare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componenta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raională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x-none"/>
        </w:rPr>
        <w:t>pentru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Pr="00A70776">
        <w:rPr>
          <w:rFonts w:ascii="Times New Roman" w:hAnsi="Times New Roman" w:cs="Times New Roman"/>
          <w:b/>
          <w:sz w:val="24"/>
          <w:szCs w:val="28"/>
          <w:lang w:val="ro-MD"/>
        </w:rPr>
        <w:t>procurarea mijloacelor fixe (3 cabinete lingofonice) în</w:t>
      </w:r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>unele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>instituții</w:t>
      </w:r>
      <w:proofErr w:type="spellEnd"/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de </w:t>
      </w:r>
      <w:proofErr w:type="spellStart"/>
      <w:r w:rsidRPr="00A70776">
        <w:rPr>
          <w:rFonts w:ascii="Times New Roman" w:hAnsi="Times New Roman" w:cs="Times New Roman"/>
          <w:b/>
          <w:sz w:val="24"/>
          <w:szCs w:val="28"/>
          <w:lang w:val="en-US"/>
        </w:rPr>
        <w:t>învățământ</w:t>
      </w:r>
      <w:proofErr w:type="spellEnd"/>
    </w:p>
    <w:p w:rsidR="00A70776" w:rsidRPr="00A70776" w:rsidRDefault="00A70776" w:rsidP="00A70776">
      <w:pPr>
        <w:spacing w:line="240" w:lineRule="auto"/>
        <w:ind w:right="23"/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temeiul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prevederilor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art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. 43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alin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.(2)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Legii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nr.436-XVI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28.12.2006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privind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administraţia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publică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locală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conformitate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cu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art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. 26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Legea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nr.397-XV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16.10.2003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privind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finanţele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publice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locale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Regulamentului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privind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repartizarea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utilizarea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mijloacelor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financiare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componenta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raională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pentru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instituţiile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învăţământ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primar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secundar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general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aprobat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Hotărârea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Guvernului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nr.868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08.10.2014, art.5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punct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ro-MD"/>
        </w:rPr>
        <w:t xml:space="preserve"> 5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>),</w:t>
      </w:r>
      <w:r w:rsidRPr="00A70776">
        <w:rPr>
          <w:rFonts w:ascii="Times New Roman" w:hAnsi="Times New Roman" w:cs="Times New Roman"/>
          <w:sz w:val="26"/>
          <w:szCs w:val="26"/>
          <w:lang w:val="ro-RO"/>
        </w:rPr>
        <w:t xml:space="preserve"> examinînd demersul Direcției Învățămînt, Tineret și Sport Briceni nr.760 din 23.11.2021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Consiliul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raional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Briceni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 xml:space="preserve">                       </w:t>
      </w:r>
    </w:p>
    <w:p w:rsidR="00A70776" w:rsidRPr="00A70776" w:rsidRDefault="00A70776" w:rsidP="00352662">
      <w:pPr>
        <w:spacing w:line="240" w:lineRule="auto"/>
        <w:ind w:right="23"/>
        <w:contextualSpacing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x-none"/>
        </w:rPr>
        <w:t>A DECIS: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70776">
        <w:rPr>
          <w:rFonts w:ascii="Times New Roman" w:hAnsi="Times New Roman" w:cs="Times New Roman"/>
          <w:sz w:val="26"/>
          <w:szCs w:val="26"/>
          <w:lang w:val="x-none"/>
        </w:rPr>
        <w:t>1.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alocă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componenta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raională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Direcţiei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Învăţăm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â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>nt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Tineret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Sport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mijloace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financiare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A70776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în  sumă de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de 240000,0 (două sute patruzeci mii) lei  pentru procurarea mijloacelor fixe (3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cabinete lingofonice) următoarelor instituții de învățământ: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70776">
        <w:rPr>
          <w:rFonts w:ascii="Times New Roman" w:hAnsi="Times New Roman" w:cs="Times New Roman"/>
          <w:sz w:val="26"/>
          <w:szCs w:val="26"/>
          <w:lang w:val="ro-MD"/>
        </w:rPr>
        <w:t xml:space="preserve">      -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Liceul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Teoretic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Briceni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nr.1                         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- 80000,0lei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     -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Liceul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Teoretic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Grigore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Vieru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Briceni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- 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>80000</w:t>
      </w:r>
      <w:proofErr w:type="gramStart"/>
      <w:r w:rsidRPr="00A70776">
        <w:rPr>
          <w:rFonts w:ascii="Times New Roman" w:hAnsi="Times New Roman" w:cs="Times New Roman"/>
          <w:sz w:val="26"/>
          <w:szCs w:val="26"/>
          <w:lang w:val="en-US"/>
        </w:rPr>
        <w:t>,0lei</w:t>
      </w:r>
      <w:proofErr w:type="gramEnd"/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     -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Liceul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Teoretic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Caracușenii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en-US"/>
        </w:rPr>
        <w:t>Vechi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- 80000</w:t>
      </w:r>
      <w:proofErr w:type="gramStart"/>
      <w:r w:rsidR="009D532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>0</w:t>
      </w:r>
      <w:proofErr w:type="gramEnd"/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lei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5322">
        <w:rPr>
          <w:rFonts w:ascii="Times New Roman" w:hAnsi="Times New Roman" w:cs="Times New Roman"/>
          <w:sz w:val="26"/>
          <w:szCs w:val="26"/>
          <w:lang w:val="x-none"/>
        </w:rPr>
        <w:t xml:space="preserve">2. </w:t>
      </w:r>
      <w:proofErr w:type="spellStart"/>
      <w:r w:rsidR="009D5322">
        <w:rPr>
          <w:rFonts w:ascii="Times New Roman" w:hAnsi="Times New Roman" w:cs="Times New Roman"/>
          <w:sz w:val="26"/>
          <w:szCs w:val="26"/>
          <w:lang w:val="x-none"/>
        </w:rPr>
        <w:t>Direcţia</w:t>
      </w:r>
      <w:proofErr w:type="spellEnd"/>
      <w:r w:rsidR="009D5322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="009D5322">
        <w:rPr>
          <w:rFonts w:ascii="Times New Roman" w:hAnsi="Times New Roman" w:cs="Times New Roman"/>
          <w:sz w:val="26"/>
          <w:szCs w:val="26"/>
          <w:lang w:val="x-none"/>
        </w:rPr>
        <w:t>Finanţe</w:t>
      </w:r>
      <w:proofErr w:type="spellEnd"/>
      <w:r w:rsidR="009D5322">
        <w:rPr>
          <w:rFonts w:ascii="Times New Roman" w:hAnsi="Times New Roman" w:cs="Times New Roman"/>
          <w:sz w:val="26"/>
          <w:szCs w:val="26"/>
          <w:lang w:val="x-none"/>
        </w:rPr>
        <w:t xml:space="preserve"> (</w:t>
      </w:r>
      <w:proofErr w:type="spellStart"/>
      <w:r w:rsidR="009D5322">
        <w:rPr>
          <w:rFonts w:ascii="Times New Roman" w:hAnsi="Times New Roman" w:cs="Times New Roman"/>
          <w:sz w:val="26"/>
          <w:szCs w:val="26"/>
          <w:lang w:val="x-none"/>
        </w:rPr>
        <w:t>d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>na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Alla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Lupașco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): 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va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asigura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efectuarea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transferului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mijloacelor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financiare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alocate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prin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prezenta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Decizie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; 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va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asigura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reflectarea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operaţiunilor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bugetare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conform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procedurii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stabilite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cadrului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legal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a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prevederilor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prezentei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Decizii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x-none"/>
        </w:rPr>
        <w:t>3.</w:t>
      </w:r>
      <w:r w:rsidRPr="00A707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Dl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Vitalie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Ştirbu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şef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Direcţia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ro-RO"/>
        </w:rPr>
        <w:t>Î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nvăţămînt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Tineret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Sport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Briceni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va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emite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va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semna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actele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necesare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întru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executarea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prezentei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Decizii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>.</w:t>
      </w:r>
    </w:p>
    <w:p w:rsidR="00A70776" w:rsidRPr="00A70776" w:rsidRDefault="00A70776" w:rsidP="00A70776">
      <w:pPr>
        <w:tabs>
          <w:tab w:val="left" w:pos="1290"/>
        </w:tabs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ro-MD"/>
        </w:rPr>
        <w:t>4.   Dna Psenicinii Aurelia, contabil-șef în Contabilitatea centralizată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 xml:space="preserve"> a Direcției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Învăţăm</w:t>
      </w:r>
      <w:r w:rsidRPr="00A70776">
        <w:rPr>
          <w:rFonts w:ascii="Times New Roman" w:hAnsi="Times New Roman" w:cs="Times New Roman"/>
          <w:sz w:val="26"/>
          <w:szCs w:val="26"/>
          <w:lang w:val="ro-MD"/>
        </w:rPr>
        <w:t>â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>nt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Tineret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şi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proofErr w:type="spellStart"/>
      <w:r w:rsidRPr="00A70776">
        <w:rPr>
          <w:rFonts w:ascii="Times New Roman" w:hAnsi="Times New Roman" w:cs="Times New Roman"/>
          <w:sz w:val="26"/>
          <w:szCs w:val="26"/>
          <w:lang w:val="x-none"/>
        </w:rPr>
        <w:t>Sport</w:t>
      </w:r>
      <w:proofErr w:type="spellEnd"/>
      <w:r w:rsidRPr="00A70776">
        <w:rPr>
          <w:rFonts w:ascii="Times New Roman" w:hAnsi="Times New Roman" w:cs="Times New Roman"/>
          <w:sz w:val="26"/>
          <w:szCs w:val="26"/>
          <w:lang w:val="ro-MD"/>
        </w:rPr>
        <w:t>, în baza prezentei decizii, va reflecta în evidență contabilă operațiunile de rigoare ce țin de îndreptare spre plată a sumelor alocate în bază facturilor prezentate.</w:t>
      </w:r>
    </w:p>
    <w:p w:rsidR="00A70776" w:rsidRPr="00A70776" w:rsidRDefault="00A70776" w:rsidP="00A70776">
      <w:pPr>
        <w:spacing w:after="0" w:line="240" w:lineRule="auto"/>
        <w:ind w:left="28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A70776">
        <w:rPr>
          <w:rFonts w:ascii="Times New Roman" w:hAnsi="Times New Roman" w:cs="Times New Roman"/>
          <w:sz w:val="26"/>
          <w:szCs w:val="26"/>
          <w:lang w:val="ro-MD"/>
        </w:rPr>
        <w:t>5</w:t>
      </w:r>
      <w:r w:rsidRPr="00A70776">
        <w:rPr>
          <w:rFonts w:ascii="Times New Roman" w:hAnsi="Times New Roman" w:cs="Times New Roman"/>
          <w:sz w:val="26"/>
          <w:szCs w:val="26"/>
          <w:lang w:val="x-none"/>
        </w:rPr>
        <w:t>.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Controlul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executării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prezentei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decizii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va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fi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exercitat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>Vicepreşedintele</w:t>
      </w:r>
      <w:proofErr w:type="spellEnd"/>
      <w:r w:rsidRPr="00A7077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raionului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dl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Arcadie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Dobuleac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70776" w:rsidRP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Preşedintele </w:t>
      </w:r>
    </w:p>
    <w:p w:rsidR="00A70776" w:rsidRP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>raionului Briceni</w:t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ab/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ab/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ab/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ab/>
        <w:t xml:space="preserve">       </w:t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       </w:t>
      </w:r>
      <w:r w:rsidRPr="00A70776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Vitalii Lupașco </w:t>
      </w:r>
    </w:p>
    <w:p w:rsidR="00A70776" w:rsidRPr="00A70776" w:rsidRDefault="00A70776" w:rsidP="00A70776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6"/>
          <w:lang w:val="it-IT"/>
        </w:rPr>
      </w:pPr>
    </w:p>
    <w:p w:rsidR="00A70776" w:rsidRPr="00A70776" w:rsidRDefault="00A70776" w:rsidP="00A707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>Secretarul interimar al</w:t>
      </w:r>
    </w:p>
    <w:p w:rsidR="00A70776" w:rsidRPr="00A70776" w:rsidRDefault="00A70776" w:rsidP="00A707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Consiliului raional Briceni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</w:t>
      </w: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>Vadim Saracuța</w:t>
      </w:r>
    </w:p>
    <w:p w:rsid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"/>
          <w:szCs w:val="26"/>
          <w:lang w:val="ro-RO"/>
        </w:rPr>
      </w:pPr>
    </w:p>
    <w:p w:rsid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"/>
          <w:szCs w:val="26"/>
          <w:lang w:val="ro-RO"/>
        </w:rPr>
      </w:pPr>
    </w:p>
    <w:p w:rsidR="00A70776" w:rsidRP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"/>
          <w:szCs w:val="26"/>
          <w:lang w:val="ro-RO"/>
        </w:rPr>
      </w:pPr>
    </w:p>
    <w:p w:rsidR="00A70776" w:rsidRP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>Specialist principal</w:t>
      </w:r>
    </w:p>
    <w:p w:rsid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în probleme juridice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</w:t>
      </w: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>Victor Statnîi</w:t>
      </w:r>
    </w:p>
    <w:p w:rsid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70776" w:rsidRPr="00A70776" w:rsidRDefault="00A70776" w:rsidP="00A7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Șeful Direcției Finanțe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</w:t>
      </w:r>
      <w:r w:rsidRPr="00A707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Alla Lupașco</w:t>
      </w:r>
    </w:p>
    <w:p w:rsidR="00B446F7" w:rsidRDefault="00B446F7" w:rsidP="00B446F7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B446F7" w:rsidTr="0068325F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B446F7" w:rsidRDefault="00B446F7" w:rsidP="0068325F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B446F7" w:rsidRDefault="00B446F7" w:rsidP="0068325F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B446F7" w:rsidRDefault="00B446F7" w:rsidP="0068325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B446F7" w:rsidRDefault="00B446F7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B446F7" w:rsidRDefault="00B446F7" w:rsidP="0068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B446F7" w:rsidRDefault="00B446F7" w:rsidP="00683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97F8D44" wp14:editId="3D5B3408">
                  <wp:extent cx="62865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6F7" w:rsidRDefault="00B446F7" w:rsidP="006832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B446F7" w:rsidRDefault="00B446F7" w:rsidP="006832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B446F7" w:rsidRDefault="00B446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B446F7" w:rsidRDefault="00B446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B446F7" w:rsidRDefault="00B446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446F7" w:rsidRDefault="00B446F7" w:rsidP="0068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B446F7" w:rsidTr="0068325F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B446F7" w:rsidRDefault="00B446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B446F7" w:rsidRDefault="00B446F7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B446F7" w:rsidRDefault="00B446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B446F7" w:rsidRDefault="00B446F7" w:rsidP="006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B446F7" w:rsidRDefault="00B446F7" w:rsidP="00683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B446F7" w:rsidRDefault="00B446F7" w:rsidP="00B446F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nr.6/</w:t>
      </w:r>
      <w:r w:rsidR="00352662">
        <w:rPr>
          <w:rFonts w:ascii="Times New Roman" w:hAnsi="Times New Roman" w:cs="Times New Roman"/>
          <w:b/>
          <w:sz w:val="28"/>
          <w:szCs w:val="28"/>
          <w:lang w:val="it-IT"/>
        </w:rPr>
        <w:t>17</w:t>
      </w:r>
    </w:p>
    <w:p w:rsidR="00B446F7" w:rsidRDefault="00B446F7" w:rsidP="00B446F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</w:t>
      </w:r>
      <w:r w:rsidR="00352662">
        <w:rPr>
          <w:rFonts w:ascii="Times New Roman" w:hAnsi="Times New Roman" w:cs="Times New Roman"/>
          <w:sz w:val="28"/>
          <w:szCs w:val="28"/>
          <w:lang w:val="it-IT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 xml:space="preserve"> decembrie 2021                                                                             or.Briceni </w:t>
      </w:r>
    </w:p>
    <w:p w:rsidR="00B446F7" w:rsidRDefault="00B446F7" w:rsidP="00B446F7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Cu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privire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la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alocarea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mijloacelor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financiare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din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componenta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raională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proofErr w:type="spellStart"/>
      <w:r w:rsidRPr="00B446F7">
        <w:rPr>
          <w:rFonts w:ascii="Times New Roman" w:hAnsi="Times New Roman" w:cs="Times New Roman"/>
          <w:b/>
          <w:sz w:val="28"/>
          <w:szCs w:val="28"/>
          <w:lang w:val="x-none"/>
        </w:rPr>
        <w:t>pentru</w:t>
      </w:r>
      <w:proofErr w:type="spellEnd"/>
      <w:r w:rsidRPr="00B446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46F7">
        <w:rPr>
          <w:rFonts w:ascii="Times New Roman" w:hAnsi="Times New Roman" w:cs="Times New Roman"/>
          <w:b/>
          <w:sz w:val="28"/>
          <w:szCs w:val="28"/>
          <w:lang w:val="ro-MD"/>
        </w:rPr>
        <w:t>reparația capitală a pavajului la Gimnaziul Balasinești</w:t>
      </w:r>
    </w:p>
    <w:p w:rsidR="00B446F7" w:rsidRPr="00B446F7" w:rsidRDefault="00B446F7" w:rsidP="00B446F7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41E" w:rsidRPr="00E7541E" w:rsidRDefault="00B446F7" w:rsidP="00E7541E">
      <w:pPr>
        <w:spacing w:line="321" w:lineRule="exact"/>
        <w:ind w:right="23" w:firstLine="70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În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temeiul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prevederilor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art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. 43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alin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.(2)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al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Legii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nr.436-XVI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28.12.2006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administraţia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publică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locală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în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conformitate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cu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art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. 26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Legea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nr.397-XV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16.10.2003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finanţele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publice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locale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Regulamentului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privind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repartizarea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utilizarea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mijloacelor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componenta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raională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pentru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instituţiile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de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învăţământ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primar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secundar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general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aprobat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prin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Hotărârea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Guvernului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nr.868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08.10.2014, art.5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punct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 5</w:t>
      </w:r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),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Consiliul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raional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>Briceni</w:t>
      </w:r>
      <w:proofErr w:type="spellEnd"/>
      <w:r w:rsidR="00E7541E"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</w:p>
    <w:p w:rsidR="00E7541E" w:rsidRPr="00E7541E" w:rsidRDefault="00E7541E" w:rsidP="00E7541E">
      <w:pPr>
        <w:spacing w:line="321" w:lineRule="exact"/>
        <w:ind w:left="4075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x-none"/>
        </w:rPr>
        <w:t xml:space="preserve">A DECIS: </w:t>
      </w:r>
    </w:p>
    <w:p w:rsidR="00E7541E" w:rsidRPr="00E7541E" w:rsidRDefault="00E7541E" w:rsidP="00E7541E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1.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Se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alocă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din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componenta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raională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Direcţiei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Învăţăm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E7541E">
        <w:rPr>
          <w:rFonts w:ascii="Times New Roman" w:hAnsi="Times New Roman" w:cs="Times New Roman"/>
          <w:sz w:val="28"/>
          <w:szCs w:val="28"/>
          <w:lang w:val="x-none"/>
        </w:rPr>
        <w:t>nt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Tineret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Sport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>mijloace</w:t>
      </w: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>sumă</w:t>
      </w:r>
      <w:proofErr w:type="spellEnd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en-US"/>
        </w:rPr>
        <w:t>140000</w:t>
      </w:r>
      <w:r w:rsidRPr="00E7541E">
        <w:rPr>
          <w:rFonts w:ascii="Times New Roman" w:hAnsi="Times New Roman" w:cs="Times New Roman"/>
          <w:sz w:val="28"/>
          <w:szCs w:val="28"/>
        </w:rPr>
        <w:t>,0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 ( una sut</w:t>
      </w:r>
      <w:r>
        <w:rPr>
          <w:rFonts w:ascii="Times New Roman" w:hAnsi="Times New Roman" w:cs="Times New Roman"/>
          <w:sz w:val="28"/>
          <w:szCs w:val="28"/>
          <w:lang w:val="ro-MD"/>
        </w:rPr>
        <w:t>ă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 patruzeci mii )</w:t>
      </w:r>
      <w:r w:rsidRPr="00E7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lei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pentru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>reparația</w:t>
      </w:r>
      <w:proofErr w:type="spellEnd"/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capitală a pavajului </w:t>
      </w:r>
      <w:r w:rsidRPr="00E754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en-US"/>
        </w:rPr>
        <w:t>Balasinești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E7541E" w:rsidRPr="00E7541E" w:rsidRDefault="00E7541E" w:rsidP="00E7541E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Finanţe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d</w:t>
      </w:r>
      <w:r w:rsidRPr="00E7541E">
        <w:rPr>
          <w:rFonts w:ascii="Times New Roman" w:hAnsi="Times New Roman" w:cs="Times New Roman"/>
          <w:sz w:val="28"/>
          <w:szCs w:val="28"/>
          <w:lang w:val="x-none"/>
        </w:rPr>
        <w:t>na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Alla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7541E">
        <w:rPr>
          <w:rFonts w:ascii="Times New Roman" w:hAnsi="Times New Roman" w:cs="Times New Roman"/>
          <w:sz w:val="28"/>
          <w:szCs w:val="28"/>
          <w:lang w:val="ro-MD"/>
        </w:rPr>
        <w:t>Lupașco</w:t>
      </w: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): </w:t>
      </w:r>
    </w:p>
    <w:p w:rsidR="00E7541E" w:rsidRPr="00E7541E" w:rsidRDefault="00E7541E" w:rsidP="00E7541E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asigura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efectuarea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transferului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mijloacelor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financiare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alocate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prin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prezenta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Decizie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; </w:t>
      </w:r>
    </w:p>
    <w:p w:rsidR="00E7541E" w:rsidRPr="00E7541E" w:rsidRDefault="00E7541E" w:rsidP="00E7541E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asigura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reflectarea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operaţiunilor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bugetare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conform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procedurii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stabilite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cadrului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legal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prevederilor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prezentei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Decizii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E7541E" w:rsidRPr="00E7541E" w:rsidRDefault="00E7541E" w:rsidP="00E7541E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3.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Dl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Vitalie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Ştirbu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şef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Direcţia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nvăţămînt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Tineret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Sport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Briceni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emite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şi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E7541E" w:rsidRPr="00E7541E" w:rsidRDefault="00E7541E" w:rsidP="00E7541E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va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semna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actele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necesare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întru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executarea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prezentei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E7541E">
        <w:rPr>
          <w:rFonts w:ascii="Times New Roman" w:hAnsi="Times New Roman" w:cs="Times New Roman"/>
          <w:sz w:val="28"/>
          <w:szCs w:val="28"/>
          <w:lang w:val="x-none"/>
        </w:rPr>
        <w:t>Decizii</w:t>
      </w:r>
      <w:proofErr w:type="spellEnd"/>
      <w:r w:rsidRPr="00E7541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B446F7" w:rsidRPr="00E7541E" w:rsidRDefault="00E7541E" w:rsidP="00E7541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E7541E">
        <w:rPr>
          <w:rFonts w:ascii="Times New Roman" w:hAnsi="Times New Roman"/>
          <w:sz w:val="28"/>
          <w:szCs w:val="28"/>
          <w:lang w:val="x-none"/>
        </w:rPr>
        <w:t xml:space="preserve">4.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Controlul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executării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prezentei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decizii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7541E">
        <w:rPr>
          <w:rFonts w:ascii="Times New Roman" w:hAnsi="Times New Roman"/>
          <w:bCs/>
          <w:sz w:val="28"/>
          <w:szCs w:val="28"/>
          <w:lang w:val="en-US"/>
        </w:rPr>
        <w:t>va</w:t>
      </w:r>
      <w:proofErr w:type="spellEnd"/>
      <w:proofErr w:type="gram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fi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exercitat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Vicepreşedintele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raionului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, dl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Arcadie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E7541E">
        <w:rPr>
          <w:rFonts w:ascii="Times New Roman" w:hAnsi="Times New Roman"/>
          <w:bCs/>
          <w:sz w:val="28"/>
          <w:szCs w:val="28"/>
          <w:lang w:val="en-US"/>
        </w:rPr>
        <w:t>Dobuleac</w:t>
      </w:r>
      <w:proofErr w:type="spellEnd"/>
      <w:r w:rsidRPr="00E7541E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</w:t>
      </w:r>
      <w:r w:rsid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</w:t>
      </w:r>
      <w:r w:rsidRPr="00E7541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Vitalii Lupașco </w:t>
      </w:r>
    </w:p>
    <w:p w:rsidR="00B446F7" w:rsidRPr="00E7541E" w:rsidRDefault="00B446F7" w:rsidP="00B44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446F7" w:rsidRPr="00E7541E" w:rsidRDefault="00B446F7" w:rsidP="00B44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B446F7" w:rsidRPr="00E7541E" w:rsidRDefault="00B446F7" w:rsidP="00B44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raional Briceni                                                         </w:t>
      </w:r>
      <w:r w:rsid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>Vadim Saracuța</w:t>
      </w: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probleme juridice                                                                 </w:t>
      </w:r>
      <w:r w:rsid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>Victor Statnîi</w:t>
      </w: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46F7" w:rsidRPr="00E7541E" w:rsidRDefault="00B446F7" w:rsidP="00B44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Șeful Direcției Finanțe                                                               </w:t>
      </w:r>
      <w:r w:rsidR="00E754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E7541E">
        <w:rPr>
          <w:rFonts w:ascii="Times New Roman" w:hAnsi="Times New Roman" w:cs="Times New Roman"/>
          <w:b/>
          <w:sz w:val="28"/>
          <w:szCs w:val="28"/>
          <w:lang w:val="ro-RO"/>
        </w:rPr>
        <w:t>Alla Lupașco</w:t>
      </w:r>
    </w:p>
    <w:p w:rsidR="00A70776" w:rsidRPr="00B446F7" w:rsidRDefault="00A70776">
      <w:pPr>
        <w:rPr>
          <w:lang w:val="ro-RO"/>
        </w:rPr>
      </w:pPr>
    </w:p>
    <w:sectPr w:rsidR="00A70776" w:rsidRPr="00B446F7" w:rsidSect="00A7077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A941F4"/>
    <w:multiLevelType w:val="hybridMultilevel"/>
    <w:tmpl w:val="AE08F580"/>
    <w:lvl w:ilvl="0" w:tplc="6F4C0F5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A"/>
    <w:rsid w:val="00352662"/>
    <w:rsid w:val="0049169A"/>
    <w:rsid w:val="004F4AA2"/>
    <w:rsid w:val="00586FF7"/>
    <w:rsid w:val="009D5322"/>
    <w:rsid w:val="00A70776"/>
    <w:rsid w:val="00B446F7"/>
    <w:rsid w:val="00E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3D1D-2C07-47BC-BE39-569D248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6FF7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FF7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basedOn w:val="a"/>
    <w:link w:val="11"/>
    <w:semiHidden/>
    <w:unhideWhenUsed/>
    <w:rsid w:val="00586FF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586FF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6F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586FF7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6">
    <w:name w:val="No Spacing"/>
    <w:qFormat/>
    <w:rsid w:val="00586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uiPriority w:val="99"/>
    <w:rsid w:val="00586F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2021-11-30T14:23:00Z</dcterms:created>
  <dcterms:modified xsi:type="dcterms:W3CDTF">2021-12-06T08:56:00Z</dcterms:modified>
</cp:coreProperties>
</file>